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5" w:rsidRPr="00304FA4" w:rsidRDefault="00894AAC">
      <w:pPr>
        <w:rPr>
          <w:b/>
          <w:sz w:val="24"/>
          <w:szCs w:val="24"/>
          <w:lang w:val="sr-Latn-BA"/>
        </w:rPr>
      </w:pPr>
      <w:r w:rsidRPr="00304FA4">
        <w:rPr>
          <w:b/>
          <w:sz w:val="24"/>
          <w:szCs w:val="24"/>
          <w:lang w:val="en-US"/>
        </w:rPr>
        <w:t>Business zone</w:t>
      </w:r>
      <w:r w:rsidR="00B857A9" w:rsidRPr="00304FA4">
        <w:rPr>
          <w:b/>
          <w:sz w:val="24"/>
          <w:szCs w:val="24"/>
          <w:lang w:val="en-US"/>
        </w:rPr>
        <w:t xml:space="preserve"> „</w:t>
      </w:r>
      <w:proofErr w:type="spellStart"/>
      <w:r w:rsidR="00B52D58" w:rsidRPr="00304FA4">
        <w:rPr>
          <w:b/>
          <w:sz w:val="24"/>
          <w:szCs w:val="24"/>
          <w:lang w:val="en-US"/>
        </w:rPr>
        <w:t>Jelšingrad</w:t>
      </w:r>
      <w:proofErr w:type="spellEnd"/>
      <w:r w:rsidR="00B857A9" w:rsidRPr="00304FA4">
        <w:rPr>
          <w:b/>
          <w:sz w:val="24"/>
          <w:szCs w:val="24"/>
          <w:lang w:val="en-US"/>
        </w:rPr>
        <w:t>“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52D58" w:rsidRPr="00304FA4" w:rsidTr="009A5A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EAF" w:rsidRPr="00304FA4" w:rsidRDefault="002430BA" w:rsidP="00304FA4">
            <w:pPr>
              <w:jc w:val="both"/>
              <w:rPr>
                <w:sz w:val="24"/>
                <w:szCs w:val="24"/>
                <w:lang w:val="en-US"/>
              </w:rPr>
            </w:pPr>
            <w:r w:rsidRPr="00304FA4">
              <w:rPr>
                <w:sz w:val="24"/>
                <w:szCs w:val="24"/>
                <w:lang w:val="en-US"/>
              </w:rPr>
              <w:t xml:space="preserve">City of </w:t>
            </w:r>
            <w:proofErr w:type="spellStart"/>
            <w:r w:rsidRPr="00304FA4">
              <w:rPr>
                <w:sz w:val="24"/>
                <w:szCs w:val="24"/>
                <w:lang w:val="en-US"/>
              </w:rPr>
              <w:t>Banja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 xml:space="preserve"> Luka granted the land in </w:t>
            </w:r>
            <w:proofErr w:type="spellStart"/>
            <w:r w:rsidRPr="00304FA4">
              <w:rPr>
                <w:sz w:val="24"/>
                <w:szCs w:val="24"/>
                <w:lang w:val="en-US"/>
              </w:rPr>
              <w:t>Zaluzani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 xml:space="preserve"> (former military barracks) to the Ministry of the Inner Affairs</w:t>
            </w:r>
            <w:r w:rsidR="00DB0439" w:rsidRPr="00304FA4">
              <w:rPr>
                <w:sz w:val="24"/>
                <w:szCs w:val="24"/>
                <w:lang w:val="en-US"/>
              </w:rPr>
              <w:t xml:space="preserve"> of the Republic of </w:t>
            </w:r>
            <w:proofErr w:type="spellStart"/>
            <w:r w:rsidR="00DB0439" w:rsidRPr="00304FA4">
              <w:rPr>
                <w:sz w:val="24"/>
                <w:szCs w:val="24"/>
                <w:lang w:val="en-US"/>
              </w:rPr>
              <w:t>Srpska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>. Total area of the land is 31 179 m</w:t>
            </w:r>
            <w:r w:rsidRPr="00304FA4">
              <w:rPr>
                <w:rFonts w:cs="Times New Roman"/>
                <w:sz w:val="24"/>
                <w:szCs w:val="24"/>
                <w:lang w:val="en-US"/>
              </w:rPr>
              <w:t>²</w:t>
            </w:r>
            <w:r w:rsidRPr="00304FA4">
              <w:rPr>
                <w:sz w:val="24"/>
                <w:szCs w:val="24"/>
                <w:lang w:val="en-US"/>
              </w:rPr>
              <w:t>. By the Decision of th</w:t>
            </w:r>
            <w:r w:rsidR="00DB0439" w:rsidRPr="00304FA4">
              <w:rPr>
                <w:sz w:val="24"/>
                <w:szCs w:val="24"/>
                <w:lang w:val="en-US"/>
              </w:rPr>
              <w:t xml:space="preserve">e Republic of </w:t>
            </w:r>
            <w:proofErr w:type="spellStart"/>
            <w:r w:rsidR="00DB0439" w:rsidRPr="00304FA4">
              <w:rPr>
                <w:sz w:val="24"/>
                <w:szCs w:val="24"/>
                <w:lang w:val="en-US"/>
              </w:rPr>
              <w:t>Srpska</w:t>
            </w:r>
            <w:proofErr w:type="spellEnd"/>
            <w:r w:rsidR="00DB0439" w:rsidRPr="00304FA4">
              <w:rPr>
                <w:sz w:val="24"/>
                <w:szCs w:val="24"/>
                <w:lang w:val="en-US"/>
              </w:rPr>
              <w:t xml:space="preserve"> Government</w:t>
            </w:r>
            <w:r w:rsidRPr="00304FA4">
              <w:rPr>
                <w:sz w:val="24"/>
                <w:szCs w:val="24"/>
                <w:lang w:val="en-US"/>
              </w:rPr>
              <w:t>, on the March 16</w:t>
            </w:r>
            <w:r w:rsidRPr="00304FA4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304FA4" w:rsidRPr="00304FA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04FA4" w:rsidRPr="00304FA4">
              <w:rPr>
                <w:sz w:val="24"/>
                <w:szCs w:val="24"/>
                <w:lang w:val="en-US"/>
              </w:rPr>
              <w:t>2017</w:t>
            </w:r>
            <w:r w:rsidRPr="00304FA4">
              <w:rPr>
                <w:sz w:val="24"/>
                <w:szCs w:val="24"/>
                <w:lang w:val="en-US"/>
              </w:rPr>
              <w:t xml:space="preserve">, the City of </w:t>
            </w:r>
            <w:proofErr w:type="spellStart"/>
            <w:r w:rsidRPr="00304FA4">
              <w:rPr>
                <w:sz w:val="24"/>
                <w:szCs w:val="24"/>
                <w:lang w:val="en-US"/>
              </w:rPr>
              <w:t>Banja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 xml:space="preserve"> Luka was </w:t>
            </w:r>
            <w:proofErr w:type="spellStart"/>
            <w:r w:rsidR="00304FA4" w:rsidRPr="00304FA4">
              <w:rPr>
                <w:sz w:val="24"/>
                <w:szCs w:val="24"/>
                <w:lang w:val="en-US"/>
              </w:rPr>
              <w:t>asigned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 xml:space="preserve"> </w:t>
            </w:r>
            <w:r w:rsidR="00304FA4" w:rsidRPr="00304FA4">
              <w:rPr>
                <w:sz w:val="24"/>
                <w:szCs w:val="24"/>
                <w:lang w:val="en-US"/>
              </w:rPr>
              <w:t xml:space="preserve">28 ha of the former factory </w:t>
            </w:r>
            <w:proofErr w:type="spellStart"/>
            <w:r w:rsidR="00304FA4" w:rsidRPr="00304FA4">
              <w:rPr>
                <w:sz w:val="24"/>
                <w:szCs w:val="24"/>
                <w:lang w:val="en-US"/>
              </w:rPr>
              <w:t>Jelš</w:t>
            </w:r>
            <w:r w:rsidRPr="00304FA4">
              <w:rPr>
                <w:sz w:val="24"/>
                <w:szCs w:val="24"/>
                <w:lang w:val="en-US"/>
              </w:rPr>
              <w:t>ingrad</w:t>
            </w:r>
            <w:proofErr w:type="spellEnd"/>
            <w:r w:rsidRPr="00304FA4">
              <w:rPr>
                <w:sz w:val="24"/>
                <w:szCs w:val="24"/>
                <w:lang w:val="en-US"/>
              </w:rPr>
              <w:t xml:space="preserve"> land, which will be used for the establishment of a new business zone. In the table below, </w:t>
            </w:r>
            <w:r w:rsidR="00DB0439" w:rsidRPr="00304FA4">
              <w:rPr>
                <w:sz w:val="24"/>
                <w:szCs w:val="24"/>
                <w:lang w:val="en-US"/>
              </w:rPr>
              <w:t>basic data about the zone are shown.</w:t>
            </w:r>
            <w:r w:rsidRPr="00304F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52D58" w:rsidRPr="00942AD9" w:rsidRDefault="00B52D58" w:rsidP="00B52D58">
      <w:pPr>
        <w:rPr>
          <w:b/>
          <w:lang w:val="en-US"/>
        </w:rPr>
      </w:pPr>
    </w:p>
    <w:tbl>
      <w:tblPr>
        <w:tblStyle w:val="TableGrid"/>
        <w:tblW w:w="10094" w:type="dxa"/>
        <w:tblInd w:w="-601" w:type="dxa"/>
        <w:tblLook w:val="04A0"/>
      </w:tblPr>
      <w:tblGrid>
        <w:gridCol w:w="510"/>
        <w:gridCol w:w="4508"/>
        <w:gridCol w:w="5076"/>
      </w:tblGrid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508" w:type="dxa"/>
          </w:tcPr>
          <w:p w:rsidR="00B52D58" w:rsidRPr="00304FA4" w:rsidRDefault="00515035" w:rsidP="009A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</w:t>
            </w:r>
          </w:p>
        </w:tc>
        <w:tc>
          <w:tcPr>
            <w:tcW w:w="5076" w:type="dxa"/>
          </w:tcPr>
          <w:p w:rsidR="00B52D58" w:rsidRPr="00304FA4" w:rsidRDefault="00515035" w:rsidP="009A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</w:p>
          <w:p w:rsidR="00B52D58" w:rsidRPr="00304FA4" w:rsidRDefault="00B52D58" w:rsidP="009A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8" w:type="dxa"/>
          </w:tcPr>
          <w:p w:rsidR="00B52D58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location </w:t>
            </w:r>
          </w:p>
        </w:tc>
        <w:tc>
          <w:tcPr>
            <w:tcW w:w="5076" w:type="dxa"/>
          </w:tcPr>
          <w:p w:rsidR="00B52D58" w:rsidRPr="00304FA4" w:rsidRDefault="00515035" w:rsidP="005150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next to the company “Novi </w:t>
            </w: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Jelšingrad</w:t>
            </w:r>
            <w:proofErr w:type="spellEnd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8" w:type="dxa"/>
          </w:tcPr>
          <w:p w:rsidR="00B52D58" w:rsidRPr="00304FA4" w:rsidRDefault="00515035" w:rsidP="00515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or building land</w:t>
            </w:r>
          </w:p>
        </w:tc>
        <w:tc>
          <w:tcPr>
            <w:tcW w:w="5076" w:type="dxa"/>
          </w:tcPr>
          <w:p w:rsidR="00B52D58" w:rsidRPr="00304FA4" w:rsidRDefault="00515035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8" w:type="dxa"/>
          </w:tcPr>
          <w:p w:rsidR="00B52D58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investment (greenfield, joint investment)</w:t>
            </w:r>
          </w:p>
        </w:tc>
        <w:tc>
          <w:tcPr>
            <w:tcW w:w="5076" w:type="dxa"/>
          </w:tcPr>
          <w:p w:rsidR="00B52D58" w:rsidRPr="00304FA4" w:rsidRDefault="00B52D58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Greenfield + brownfield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8" w:type="dxa"/>
          </w:tcPr>
          <w:p w:rsidR="00515035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area</w:t>
            </w:r>
          </w:p>
        </w:tc>
        <w:tc>
          <w:tcPr>
            <w:tcW w:w="5076" w:type="dxa"/>
          </w:tcPr>
          <w:p w:rsidR="00B52D58" w:rsidRPr="00304FA4" w:rsidRDefault="00942AD9" w:rsidP="009A5A8C">
            <w:pPr>
              <w:jc w:val="both"/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Surface:</w:t>
            </w:r>
            <w:r w:rsidR="00B52D58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28 194 m</w:t>
            </w:r>
            <w:r w:rsidR="00B52D58" w:rsidRPr="00304FA4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²</w:t>
            </w:r>
          </w:p>
          <w:p w:rsidR="00B52D58" w:rsidRPr="00304FA4" w:rsidRDefault="00B52D58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D58" w:rsidRPr="00304FA4" w:rsidRDefault="00B52D58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1684/3 K.O. </w:t>
            </w: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Budžak</w:t>
            </w:r>
            <w:proofErr w:type="spellEnd"/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8" w:type="dxa"/>
          </w:tcPr>
          <w:p w:rsidR="00B52D58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</w:t>
            </w:r>
            <w:r w:rsidR="00B52D58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6" w:type="dxa"/>
          </w:tcPr>
          <w:p w:rsidR="00B52D58" w:rsidRPr="00304FA4" w:rsidRDefault="00942AD9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of Banja Luka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8" w:type="dxa"/>
          </w:tcPr>
          <w:p w:rsidR="00515035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the location according to the transport corridors</w:t>
            </w:r>
          </w:p>
        </w:tc>
        <w:tc>
          <w:tcPr>
            <w:tcW w:w="5076" w:type="dxa"/>
          </w:tcPr>
          <w:p w:rsidR="00515035" w:rsidRPr="00304FA4" w:rsidRDefault="00515035" w:rsidP="005150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Ilije</w:t>
            </w:r>
            <w:proofErr w:type="spellEnd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Garašanina</w:t>
            </w:r>
            <w:proofErr w:type="spellEnd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connects the zone to the highway </w:t>
            </w: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Banja</w:t>
            </w:r>
            <w:proofErr w:type="spellEnd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Luka - </w:t>
            </w:r>
            <w:proofErr w:type="spellStart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Gradiška</w:t>
            </w:r>
            <w:proofErr w:type="spellEnd"/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08" w:type="dxa"/>
          </w:tcPr>
          <w:p w:rsidR="001D17B6" w:rsidRPr="00304FA4" w:rsidRDefault="001D17B6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possibilities: purchase, renting, concession</w:t>
            </w:r>
          </w:p>
        </w:tc>
        <w:tc>
          <w:tcPr>
            <w:tcW w:w="5076" w:type="dxa"/>
          </w:tcPr>
          <w:p w:rsidR="00B52D58" w:rsidRPr="00304FA4" w:rsidRDefault="001D17B6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08" w:type="dxa"/>
          </w:tcPr>
          <w:p w:rsidR="00B52D58" w:rsidRPr="00304FA4" w:rsidRDefault="001D17B6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of purchase or renting</w:t>
            </w:r>
          </w:p>
        </w:tc>
        <w:tc>
          <w:tcPr>
            <w:tcW w:w="5076" w:type="dxa"/>
          </w:tcPr>
          <w:p w:rsidR="00B52D58" w:rsidRPr="00304FA4" w:rsidRDefault="001D17B6" w:rsidP="009A5A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of the building land</w:t>
            </w:r>
          </w:p>
          <w:p w:rsidR="001D17B6" w:rsidRPr="00304FA4" w:rsidRDefault="001D17B6" w:rsidP="009A5A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04F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zone - 106,9 KM/m² </w:t>
            </w:r>
            <w:r w:rsidRPr="00304FA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(subject to change, see the footnote)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08" w:type="dxa"/>
          </w:tcPr>
          <w:p w:rsidR="001D17B6" w:rsidRPr="00304FA4" w:rsidRDefault="001D17B6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Infrastructure (electrical energy, water, sewerage system, lighting, telecommunications, access roads)</w:t>
            </w:r>
          </w:p>
        </w:tc>
        <w:tc>
          <w:tcPr>
            <w:tcW w:w="5076" w:type="dxa"/>
          </w:tcPr>
          <w:p w:rsidR="00B52D58" w:rsidRPr="00304FA4" w:rsidRDefault="00515035" w:rsidP="009A5A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Equipped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08" w:type="dxa"/>
          </w:tcPr>
          <w:p w:rsidR="00B52D58" w:rsidRPr="00304FA4" w:rsidRDefault="00515035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purpose</w:t>
            </w:r>
            <w:r w:rsidR="00B52D58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6" w:type="dxa"/>
          </w:tcPr>
          <w:p w:rsidR="001D17B6" w:rsidRPr="00304FA4" w:rsidRDefault="001D17B6" w:rsidP="001D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activities – business object 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8" w:type="dxa"/>
          </w:tcPr>
          <w:p w:rsidR="00515035" w:rsidRPr="00304FA4" w:rsidRDefault="00515035" w:rsidP="0030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Documentation necessary for investing, the issuer (spatial and </w:t>
            </w:r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plan, permissions, </w:t>
            </w:r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consents</w:t>
            </w: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76" w:type="dxa"/>
          </w:tcPr>
          <w:p w:rsidR="001D17B6" w:rsidRPr="00304FA4" w:rsidRDefault="001D17B6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 of the Regulation Plan “</w:t>
            </w:r>
            <w:proofErr w:type="spellStart"/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Jelš</w:t>
            </w: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ingrad</w:t>
            </w:r>
            <w:proofErr w:type="spellEnd"/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RO Factory of the tool machines – revised plan</w:t>
            </w:r>
          </w:p>
          <w:p w:rsidR="001D17B6" w:rsidRPr="00304FA4" w:rsidRDefault="001D17B6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17B6" w:rsidRPr="00304FA4" w:rsidRDefault="001D17B6" w:rsidP="001D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documents: location conditions, construction permit, and other necessary permits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08" w:type="dxa"/>
          </w:tcPr>
          <w:p w:rsidR="00B52D58" w:rsidRPr="00304FA4" w:rsidRDefault="00942AD9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information</w:t>
            </w:r>
          </w:p>
        </w:tc>
        <w:tc>
          <w:tcPr>
            <w:tcW w:w="5076" w:type="dxa"/>
          </w:tcPr>
          <w:p w:rsidR="001D17B6" w:rsidRPr="00304FA4" w:rsidRDefault="001D17B6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4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There are two existing industrial objects on this location – area 5 m</w:t>
            </w:r>
            <w:r w:rsidRPr="00304FA4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²</w:t>
            </w:r>
            <w:r w:rsidRPr="00304FA4">
              <w:rPr>
                <w:rFonts w:asciiTheme="minorEastAsia" w:hAnsiTheme="minorEastAsia" w:cstheme="minorEastAsia"/>
                <w:sz w:val="24"/>
                <w:szCs w:val="24"/>
              </w:rPr>
              <w:t xml:space="preserve"> and 428 m</w:t>
            </w:r>
            <w:r w:rsidRPr="00304FA4"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</w:tr>
      <w:tr w:rsidR="00B52D58" w:rsidRPr="00942AD9" w:rsidTr="009A5A8C">
        <w:tc>
          <w:tcPr>
            <w:tcW w:w="510" w:type="dxa"/>
          </w:tcPr>
          <w:p w:rsidR="00B52D58" w:rsidRPr="00942AD9" w:rsidRDefault="00B52D58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8" w:type="dxa"/>
          </w:tcPr>
          <w:p w:rsidR="00B52D58" w:rsidRPr="00304FA4" w:rsidRDefault="00942AD9" w:rsidP="009A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5076" w:type="dxa"/>
          </w:tcPr>
          <w:p w:rsidR="00B52D58" w:rsidRPr="00304FA4" w:rsidRDefault="00515035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Local Economic Development and Strategic Planning</w:t>
            </w:r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City of </w:t>
            </w:r>
            <w:proofErr w:type="spellStart"/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Banja</w:t>
            </w:r>
            <w:proofErr w:type="spellEnd"/>
            <w:r w:rsidR="00304FA4"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Luka</w:t>
            </w:r>
          </w:p>
          <w:p w:rsidR="00B52D58" w:rsidRPr="00304FA4" w:rsidRDefault="00B52D58" w:rsidP="009A5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051/244-427</w:t>
            </w:r>
          </w:p>
        </w:tc>
      </w:tr>
    </w:tbl>
    <w:p w:rsidR="00B52D58" w:rsidRPr="00942AD9" w:rsidRDefault="00B52D58" w:rsidP="00B52D58">
      <w:pPr>
        <w:rPr>
          <w:b/>
          <w:lang w:val="en-US"/>
        </w:rPr>
      </w:pPr>
    </w:p>
    <w:p w:rsidR="00B52D58" w:rsidRPr="00942AD9" w:rsidRDefault="00B52D58" w:rsidP="00B52D58">
      <w:pPr>
        <w:jc w:val="center"/>
        <w:rPr>
          <w:b/>
          <w:lang w:val="en-US"/>
        </w:rPr>
      </w:pPr>
      <w:r w:rsidRPr="00942AD9">
        <w:rPr>
          <w:b/>
          <w:noProof/>
          <w:lang w:val="en-US"/>
        </w:rPr>
        <w:lastRenderedPageBreak/>
        <w:drawing>
          <wp:inline distT="0" distB="0" distL="0" distR="0">
            <wp:extent cx="4185876" cy="35528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uhvat uz T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57" cy="3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58" w:rsidRPr="00942AD9" w:rsidRDefault="00B52D58" w:rsidP="00B52D58">
      <w:pPr>
        <w:jc w:val="center"/>
        <w:rPr>
          <w:b/>
          <w:lang w:val="en-US"/>
        </w:rPr>
      </w:pPr>
      <w:r w:rsidRPr="00942AD9">
        <w:rPr>
          <w:b/>
          <w:noProof/>
          <w:lang w:val="en-US"/>
        </w:rPr>
        <w:drawing>
          <wp:inline distT="0" distB="0" distL="0" distR="0">
            <wp:extent cx="4210050" cy="423928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lsingrad TAS 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43" cy="42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A9" w:rsidRPr="00942AD9" w:rsidRDefault="00B857A9">
      <w:pPr>
        <w:rPr>
          <w:lang w:val="en-US"/>
        </w:rPr>
      </w:pPr>
    </w:p>
    <w:sectPr w:rsidR="00B857A9" w:rsidRPr="00942AD9" w:rsidSect="00B8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62" w:rsidRDefault="00A70062" w:rsidP="00B52D58">
      <w:pPr>
        <w:spacing w:after="0" w:line="240" w:lineRule="auto"/>
      </w:pPr>
      <w:r>
        <w:separator/>
      </w:r>
    </w:p>
  </w:endnote>
  <w:endnote w:type="continuationSeparator" w:id="0">
    <w:p w:rsidR="00A70062" w:rsidRDefault="00A70062" w:rsidP="00B5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62" w:rsidRDefault="00A70062" w:rsidP="00B52D58">
      <w:pPr>
        <w:spacing w:after="0" w:line="240" w:lineRule="auto"/>
      </w:pPr>
      <w:r>
        <w:separator/>
      </w:r>
    </w:p>
  </w:footnote>
  <w:footnote w:type="continuationSeparator" w:id="0">
    <w:p w:rsidR="00A70062" w:rsidRDefault="00A70062" w:rsidP="00B52D58">
      <w:pPr>
        <w:spacing w:after="0" w:line="240" w:lineRule="auto"/>
      </w:pPr>
      <w:r>
        <w:continuationSeparator/>
      </w:r>
    </w:p>
  </w:footnote>
  <w:footnote w:id="1">
    <w:p w:rsidR="00DB0439" w:rsidRDefault="001D17B6" w:rsidP="001D17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B0439">
        <w:t>A document Rješenje o vrijednostima koeficijenata za korekciju procijenjene tržišne vrijednosti nepokretnosti za 2016. godinu can be found on the following website and there is a detailed proccess of the prices calculation</w:t>
      </w:r>
    </w:p>
    <w:p w:rsidR="001D17B6" w:rsidRDefault="00B82AF8" w:rsidP="001D17B6">
      <w:pPr>
        <w:pStyle w:val="FootnoteText"/>
        <w:jc w:val="both"/>
      </w:pPr>
      <w:hyperlink r:id="rId1" w:history="1">
        <w:r w:rsidR="001D17B6" w:rsidRPr="00110C80">
          <w:rPr>
            <w:rStyle w:val="Hyperlink"/>
          </w:rPr>
          <w:t>https://www.poreskaupravars.org/SiteCir/UpisFiskalniRegistarNepokretnostiInfo.aspx</w:t>
        </w:r>
      </w:hyperlink>
      <w:r w:rsidR="00DB0439">
        <w:t xml:space="preserve"> 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A9"/>
    <w:rsid w:val="000F74A5"/>
    <w:rsid w:val="001807CB"/>
    <w:rsid w:val="00196B7C"/>
    <w:rsid w:val="001D17B6"/>
    <w:rsid w:val="002430BA"/>
    <w:rsid w:val="002D47D2"/>
    <w:rsid w:val="00304FA4"/>
    <w:rsid w:val="004A6EDD"/>
    <w:rsid w:val="004B49B5"/>
    <w:rsid w:val="00515035"/>
    <w:rsid w:val="005B0CD0"/>
    <w:rsid w:val="00685ACE"/>
    <w:rsid w:val="00894AAC"/>
    <w:rsid w:val="00942AD9"/>
    <w:rsid w:val="00A70062"/>
    <w:rsid w:val="00B52D58"/>
    <w:rsid w:val="00B75B1C"/>
    <w:rsid w:val="00B82AF8"/>
    <w:rsid w:val="00B857A9"/>
    <w:rsid w:val="00C3232C"/>
    <w:rsid w:val="00C65E71"/>
    <w:rsid w:val="00D276A1"/>
    <w:rsid w:val="00DB0439"/>
    <w:rsid w:val="00E06EAF"/>
    <w:rsid w:val="00EA7262"/>
    <w:rsid w:val="00F5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B52D58"/>
    <w:pPr>
      <w:spacing w:after="0" w:line="240" w:lineRule="auto"/>
    </w:pPr>
    <w:rPr>
      <w:rFonts w:asciiTheme="minorHAnsi" w:eastAsiaTheme="minorEastAsia" w:hAnsiTheme="minorHAnsi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2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D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D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reskaupravars.org/SiteCir/UpisFiskalniRegistarNepokretnostiInf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Anesa V</cp:lastModifiedBy>
  <cp:revision>8</cp:revision>
  <dcterms:created xsi:type="dcterms:W3CDTF">2018-02-22T13:17:00Z</dcterms:created>
  <dcterms:modified xsi:type="dcterms:W3CDTF">2018-02-26T09:01:00Z</dcterms:modified>
</cp:coreProperties>
</file>